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Lines="0" w:afterLines="0" w:line="560" w:lineRule="exact"/>
        <w:rPr>
          <w:rFonts w:hint="default" w:ascii="Nimbus Roman" w:hAnsi="Nimbus Roman" w:eastAsia="方正黑体_GBK" w:cs="Nimbus Roman"/>
          <w:sz w:val="32"/>
        </w:rPr>
      </w:pPr>
      <w:r>
        <w:rPr>
          <w:rFonts w:hint="default" w:ascii="Nimbus Roman" w:hAnsi="Nimbus Roman" w:eastAsia="方正黑体_GBK" w:cs="Nimbus Roman"/>
          <w:sz w:val="32"/>
        </w:rPr>
        <w:t>附件：</w:t>
      </w:r>
    </w:p>
    <w:p>
      <w:pPr>
        <w:keepNext w:val="0"/>
        <w:keepLines w:val="0"/>
        <w:pageBreakBefore w:val="0"/>
        <w:widowControl w:val="0"/>
        <w:kinsoku/>
        <w:wordWrap/>
        <w:overflowPunct/>
        <w:topLinePunct w:val="0"/>
        <w:autoSpaceDE/>
        <w:autoSpaceDN/>
        <w:bidi w:val="0"/>
        <w:adjustRightInd/>
        <w:snapToGrid/>
        <w:spacing w:beforeLines="0" w:afterLines="0"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2022年新疆创新方法大赛暨中国创新方法大赛</w:t>
      </w:r>
    </w:p>
    <w:p>
      <w:pPr>
        <w:keepNext w:val="0"/>
        <w:keepLines w:val="0"/>
        <w:pageBreakBefore w:val="0"/>
        <w:widowControl w:val="0"/>
        <w:kinsoku/>
        <w:wordWrap/>
        <w:overflowPunct/>
        <w:topLinePunct w:val="0"/>
        <w:autoSpaceDE/>
        <w:autoSpaceDN/>
        <w:bidi w:val="0"/>
        <w:adjustRightInd/>
        <w:snapToGrid/>
        <w:spacing w:beforeLines="0" w:afterLines="0" w:line="560" w:lineRule="exact"/>
        <w:jc w:val="center"/>
        <w:textAlignment w:val="auto"/>
        <w:rPr>
          <w:rFonts w:hint="default" w:ascii="Nimbus Roman" w:hAnsi="Nimbus Roman" w:eastAsia="方正小标宋_GBK" w:cs="Nimbus Roman"/>
          <w:sz w:val="44"/>
          <w:szCs w:val="44"/>
        </w:rPr>
      </w:pPr>
      <w:r>
        <w:rPr>
          <w:rFonts w:hint="eastAsia" w:ascii="方正小标宋简体" w:hAnsi="方正小标宋简体" w:eastAsia="方正小标宋简体" w:cs="方正小标宋简体"/>
          <w:sz w:val="44"/>
          <w:szCs w:val="44"/>
        </w:rPr>
        <w:t>新疆分赛参赛团队名单</w:t>
      </w:r>
    </w:p>
    <w:p>
      <w:pPr>
        <w:keepNext w:val="0"/>
        <w:keepLines w:val="0"/>
        <w:pageBreakBefore w:val="0"/>
        <w:widowControl w:val="0"/>
        <w:kinsoku/>
        <w:wordWrap/>
        <w:overflowPunct/>
        <w:topLinePunct w:val="0"/>
        <w:autoSpaceDE/>
        <w:autoSpaceDN/>
        <w:bidi w:val="0"/>
        <w:adjustRightInd/>
        <w:snapToGrid/>
        <w:spacing w:beforeLines="0" w:afterLines="0" w:line="560" w:lineRule="exact"/>
        <w:jc w:val="center"/>
        <w:textAlignment w:val="auto"/>
        <w:rPr>
          <w:rFonts w:hint="default" w:ascii="Nimbus Roman" w:hAnsi="Nimbus Roman" w:eastAsia="方正楷体_GBK" w:cs="Nimbus Roman"/>
          <w:sz w:val="32"/>
          <w:szCs w:val="32"/>
        </w:rPr>
      </w:pPr>
      <w:r>
        <w:rPr>
          <w:rFonts w:hint="default" w:ascii="Nimbus Roman" w:hAnsi="Nimbus Roman" w:eastAsia="方正楷体_GBK" w:cs="Nimbus Roman"/>
          <w:sz w:val="32"/>
          <w:szCs w:val="32"/>
        </w:rPr>
        <w:t>（通过形式审查）</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2"/>
        <w:gridCol w:w="3913"/>
        <w:gridCol w:w="5604"/>
        <w:gridCol w:w="30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560" w:lineRule="exact"/>
              <w:jc w:val="center"/>
              <w:rPr>
                <w:rFonts w:hint="default" w:ascii="Nimbus Roman" w:hAnsi="Nimbus Roman" w:eastAsia="方正黑体_GBK" w:cs="Nimbus Roman"/>
                <w:b w:val="0"/>
                <w:bCs w:val="0"/>
                <w:sz w:val="28"/>
                <w:szCs w:val="28"/>
              </w:rPr>
            </w:pPr>
            <w:r>
              <w:rPr>
                <w:rFonts w:hint="default" w:ascii="Nimbus Roman" w:hAnsi="Nimbus Roman" w:eastAsia="方正黑体_GBK" w:cs="Nimbus Roman"/>
                <w:b w:val="0"/>
                <w:bCs w:val="0"/>
                <w:sz w:val="28"/>
                <w:szCs w:val="28"/>
              </w:rPr>
              <w:t>序号</w:t>
            </w:r>
          </w:p>
        </w:tc>
        <w:tc>
          <w:tcPr>
            <w:tcW w:w="3913" w:type="dxa"/>
            <w:noWrap w:val="0"/>
            <w:vAlign w:val="center"/>
          </w:tcPr>
          <w:p>
            <w:pPr>
              <w:spacing w:beforeLines="0" w:afterLines="0" w:line="560" w:lineRule="exact"/>
              <w:jc w:val="center"/>
              <w:rPr>
                <w:rFonts w:hint="default" w:ascii="Nimbus Roman" w:hAnsi="Nimbus Roman" w:eastAsia="方正黑体_GBK" w:cs="Nimbus Roman"/>
                <w:b w:val="0"/>
                <w:bCs w:val="0"/>
                <w:sz w:val="28"/>
                <w:szCs w:val="28"/>
              </w:rPr>
            </w:pPr>
            <w:r>
              <w:rPr>
                <w:rFonts w:hint="default" w:ascii="Nimbus Roman" w:hAnsi="Nimbus Roman" w:eastAsia="方正黑体_GBK" w:cs="Nimbus Roman"/>
                <w:b w:val="0"/>
                <w:bCs w:val="0"/>
                <w:sz w:val="28"/>
                <w:szCs w:val="28"/>
              </w:rPr>
              <w:t>企业名称</w:t>
            </w:r>
          </w:p>
        </w:tc>
        <w:tc>
          <w:tcPr>
            <w:tcW w:w="5604" w:type="dxa"/>
            <w:noWrap w:val="0"/>
            <w:vAlign w:val="center"/>
          </w:tcPr>
          <w:p>
            <w:pPr>
              <w:spacing w:beforeLines="0" w:afterLines="0" w:line="560" w:lineRule="exact"/>
              <w:jc w:val="center"/>
              <w:rPr>
                <w:rFonts w:hint="default" w:ascii="Nimbus Roman" w:hAnsi="Nimbus Roman" w:eastAsia="方正黑体_GBK" w:cs="Nimbus Roman"/>
                <w:b w:val="0"/>
                <w:bCs w:val="0"/>
                <w:sz w:val="28"/>
                <w:szCs w:val="28"/>
              </w:rPr>
            </w:pPr>
            <w:r>
              <w:rPr>
                <w:rFonts w:hint="default" w:ascii="Nimbus Roman" w:hAnsi="Nimbus Roman" w:eastAsia="方正黑体_GBK" w:cs="Nimbus Roman"/>
                <w:b w:val="0"/>
                <w:bCs w:val="0"/>
                <w:sz w:val="28"/>
                <w:szCs w:val="28"/>
              </w:rPr>
              <w:t>作品名称</w:t>
            </w:r>
          </w:p>
        </w:tc>
        <w:tc>
          <w:tcPr>
            <w:tcW w:w="3068" w:type="dxa"/>
            <w:noWrap w:val="0"/>
            <w:vAlign w:val="center"/>
          </w:tcPr>
          <w:p>
            <w:pPr>
              <w:spacing w:beforeLines="0" w:afterLines="0" w:line="560" w:lineRule="exact"/>
              <w:jc w:val="center"/>
              <w:rPr>
                <w:rFonts w:hint="default" w:ascii="Nimbus Roman" w:hAnsi="Nimbus Roman" w:eastAsia="方正黑体_GBK" w:cs="Nimbus Roman"/>
                <w:b w:val="0"/>
                <w:bCs w:val="0"/>
                <w:sz w:val="28"/>
                <w:szCs w:val="28"/>
              </w:rPr>
            </w:pPr>
            <w:r>
              <w:rPr>
                <w:rFonts w:hint="default" w:ascii="Nimbus Roman" w:hAnsi="Nimbus Roman" w:eastAsia="方正黑体_GBK" w:cs="Nimbus Roman"/>
                <w:b w:val="0"/>
                <w:bCs w:val="0"/>
                <w:sz w:val="28"/>
                <w:szCs w:val="28"/>
              </w:rPr>
              <w:t>所属行业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1</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中国石油天然气股份有限公司新疆油田分公司风城油田作业区</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防冲击磨损取样器的研制</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2</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中国石油天然气股份有限公司新疆油田分公司风城油田作业区</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防打滑防掉落导向油嘴组合装置的研制</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3</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中国石油天然气股份有限公司塔里木油田分公司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创新对真空加热炉“做手术”</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4</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中国石油化工股份有限公司西北油田分公司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基于TRIZ方法提升边远地区测绘工作效率</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科技推广和应用服务业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5</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中国石油天然气股份有限公司新疆油田分公司陆梁油田作业区</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基于TRIZ消除储罐安全附件冬季性能失效难题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6</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中国石油天然气股份有限公司乌鲁木齐石化分公司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基于TRIZ理论实现污水池挥发性气体零外溢</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化学原料和化学制品制造业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7</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可调式管线支撑器的研制</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电力、热力生产和供应业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8</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库车市永新矿业有限责任公司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采煤工作面过联络巷、中间巷、支架撤除复合安全管理与技术</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煤炭开采和洗选业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9</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中国石油集团西部钻探工程有限公司吐哈钻井公司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基于TRIZ-研制旋转循环防卡装置</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10</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中国石油天然气股分有限公司新疆油田分公司准东采油厂</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基于TRIZ理论在油田集油系统常压输送技术方面的创新</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11</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新疆圣雄氯碱有限公司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工业尾气二氧化碳制取液体碳酸钠及其产业化应用</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化学原料和化学制品制造业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12</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新疆格瑞迪斯石油技术股份有限公司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解决油气井井下连续作业问题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13</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中国石油新疆油田公司准东采油厂</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运用TRIZ解决卸油口喷溅问题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14</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新疆油田公司风城油田作业区风城采油</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压缩机滤子清洗机的研制</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石油、煤炭及其他燃料加工业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15</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新疆油田公司风城油田作业区</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机械密封降温系统改造</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石油、煤炭及其他燃料加工业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16</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新疆小马聚力信息科技有限公司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国资国企在线监管系统</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软件和信息技术服务业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17</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中国石油天然气股份有限公司新疆油田分公司准东采油厂</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基于TRIZ理论解决雷达液位计探头结冰的问题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18</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中国石油化工股份有限公司西北油田分公司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减少深井固井过程中水泥浆漏失问题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19</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中国石油新疆油田分公司准东采油厂工会委员会</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降低抽油机系统能耗</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20</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博艾丰生物制品股份有限公司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卤虫卵生理活性稳定化预处理技术研究</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农、林、牧、渔专业及          辅助性活动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21</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中国石油新疆油田分公司准东采油厂工会委员会</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基于TIRZ理论解决乙二醇用量大的难题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22</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中国石油新疆油田分公司准东采油厂工会委员会</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基于TRIZ理论-解决抽油井光杆断后无控制问题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23</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柱塞泵机油室机油口多功能滤网</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24</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新疆油田公司油气储运分公司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基于TRIZ理论解决大型轨道球阀密封失效的难题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25</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基于TRIZ理论解决高含砂油井井口装置刺漏问题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26</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物联网在软化器进盐系统中的研究与应用</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电力、热力生产和供应业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27</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博州晖力普电子科技有限公司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高热环境下的LED灯开发</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研究和试验发展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28</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新疆数途科技有限公司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零散整合大数据平台</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软件和信息技术服务业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29</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中国石油天然气股份有限公司塔里木油田分公司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高温高压油气田井完整性技术</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30</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中国石油天然气股份有限公司塔里木油田分公司塔西南勘探开发公司博大采油气管理区</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高压高风险气井视频智能化巡检技术研发及应用</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燃气生产和供应业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31</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中国石油新疆油田公司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环保型自动井下作业系统的研发</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32</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 xml:space="preserve">基于TRIZ方法解决压裂复抽井下作业施工效率低的难题 </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33</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撬装配水间注水井地面管线泄压流程优化改造</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34</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新疆宏滙建筑建材检测有限公司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基于TRIZ理论对机器人检测混凝土智能互联系统的改进</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建筑装饰、装修和其他建筑业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35</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污泥浓缩池刮泥板研制</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36</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中国石油天然气股份有限公司塔里木油田分公司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新型罐车拉运原油卸放底水装置的研发与应用</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37</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中国石油天然气股份有限公司塔里木油田分公司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基于电子锁和电子铅封解决试采井场原油被盗难题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38</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基于TRIZ抽油机电动机在滑轨上的固定问题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39</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基于TRIZ方法解决静态混合器堵塞的难题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40</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基于TRIZ理论解决闸阀开关困难问题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41</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基于解决复式永磁电机抽油机示功图采集难问题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42</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 xml:space="preserve">基于TRIZ方法解决柱塞泵更换盘根困难的难题 </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43</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抽油机刹车液压制动装置的研制</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44</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基于DCP策略的柱塞泵阶梯预警方法研究</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电力、热力生产和供应业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45</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中国石油化工股份有限公司西北油田分公司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低品位油气藏原位制氢</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46</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中国石油天然气股份有限公司新疆油田油气储运分公司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基于TRIZ解决油气站场电伴热能耗大的难题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石油、煤炭及其他燃料加工业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47</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基于TRIZ方法解决复配撬更换流量计效率低的难题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非金属矿物制品业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48</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triz光杆密封器密封填料的磨损问题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49</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新疆油田公司应急抢险救援中心</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基于TRIZ理论解决应急输油管线斜向钻削的难题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石油、煤炭及其他燃料加工业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50</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基于TRIZ方法提高先导式安全阀起跳后的定位效率</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51</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新疆油田分公司应急抢险救援中心</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基于TRIZ理论兼容式连续油管对焊冷却装置的研制</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52</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中国石油新疆油田分公司石西油田作业区工会委员会</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低压管线带压疏通装置的研制</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53</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中国石油新疆油田分公司石西油田作业区工会委员会</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新式盘根盒研制与应用</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54</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燃气电动阀关闭时间检测装置的研制</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电力、热力生产和供应业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55</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中国石油天然气股份有限公司吐哈油田分公司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一种强抑制低伤害植物油基钻井液技术</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56</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中国石油新疆油田分公司石西油田作业区工会委员会</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基于TRIZ理论研发移动式油井计量装置</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57</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中国石油新疆油田分公司石西油田作业区工会委员会</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气井外排放空燃烧器的研制</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58</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中国石油天然气股份有限公司塔里木油田分公司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抑制阴极保护系统电流外泄的装置</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59</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用TRIZ解决稠油井光杆密封器无有效控制井口压力难题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60</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基于Triz理论解决输油泵出口震动问题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61</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基于TRIZ方法提高天然气深冷装置液态产品收率</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62</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中国石油天然气股份有限公司新疆油田分公司采油一厂</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减少柱塞泵润滑油变质的方法</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63</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中国石油乌鲁木齐石油化工有限公司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运用TRIZ方法减少FIL1-1205切换频次</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石油、煤炭及其他燃料加工业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64</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中国石油天然气股份有限公司吐哈油田分公司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基于TRIZ理论研制光杆断脱防喷器及盘根密封一体化装置</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65</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中国石油天然气股份有限公司乌鲁木齐石化分公司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基于TRIZ方法实现残渣接收罐 不排放操作技术</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石油、煤炭及其他燃料加工业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66</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中国石油天然气股份有限公司吐哈油田分公司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研制油井热洗数据采集监控装置</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67</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中国石油天然气股份有限公司塔里木油田分公司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超深超高压垢堵气井提产稳产关键技术创新及规模化应用</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68</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兖矿新疆煤化工有限公司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尿素产品质量提升的研究与应用</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化学原料和化学制品制造业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69</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兖矿新疆煤化工有限公司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基于TRIZ法解决中温变换炉运行过程中压差过大的难题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石油、煤炭及其他燃料加工业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70</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兖矿新疆矿业有限公司硫磺沟煤矿</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基于TRIZ解决巷道支护参数中预紧力达标的难题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煤炭开采和洗选业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71</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兖矿新疆煤化工有限公司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氨合成触媒氮气升温开车法</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化学原料和化学制品制造业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72</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兖矿新疆矿业有限公司硫磺沟煤矿</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大倾角特厚煤层综放工作面控制设备上窜下滑新技术</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煤炭开采和洗选业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73</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兖矿新疆能化有限公司伊犁一矿</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基于TRIZ解决矿井网络系统优化的难题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煤炭开采和洗选业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74</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中国石油天然气股份有限公司吐哈油田分公司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基于TRIZ理论提升注水井流量计拆卸效率</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75</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伊犁新矿煤业有限责任公司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弱胶结地层古近系含水层下保水开采技术研究与应用</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煤炭开采和洗选业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76</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中国石油化工股份有限公司西北油田分公司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实现超深碳酸盐岩油藏缝洞特征解释</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77</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伊犁新矿煤业有限责任公司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提高仓储环节原煤的块煤率</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煤炭开采和洗选业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78</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中国石油天然气股份有限公司乌鲁木齐石化分公司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基于TRIZ方法降低三元催化剂消耗</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石油、煤炭及其他燃料加工业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79</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中国石油天然气股份有限公司塔里木油田分公司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桁架式装车鹤管自动定位装车系统的开发研究</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80</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中国石油化工股份有限公司西北油田分公司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基于TRIZ多方法融合的一种高温高盐油藏堵水调剖药剂体系设计</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81</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中国石油天然气股份有限公司吐哈油田分公司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基于TRIZ理论解决抽油机安全挂钩难摘取的难题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82</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中国石油天然气股份有限公司吐哈油田分公司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研制抽油机井自封式定压放气阀座</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83</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中国石油天然气股份有限公司新疆油田分公司百口泉采油厂</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基于TRIZ实现注水井自动放压控制的问题</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84</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中国石油天然气股份有限公司吐哈油田分公司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气举智能管理平台研发与应用</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石油和天然气开采业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85</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和布克赛尔蒙古自治县宏达盐业有限责任公司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利用TRIZ理论 解决边疆地区富硒资源的高效利用</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食品制造业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902" w:type="dxa"/>
            <w:noWrap w:val="0"/>
            <w:vAlign w:val="center"/>
          </w:tcPr>
          <w:p>
            <w:pPr>
              <w:spacing w:beforeLines="0" w:afterLines="0" w:line="320" w:lineRule="exact"/>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86</w:t>
            </w:r>
          </w:p>
        </w:tc>
        <w:tc>
          <w:tcPr>
            <w:tcW w:w="3913"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新疆嘉畅农牧业开发有限公司</w:t>
            </w:r>
          </w:p>
        </w:tc>
        <w:tc>
          <w:tcPr>
            <w:tcW w:w="5604"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提升“三元猪”非洲猪瘟防控能力</w:t>
            </w:r>
          </w:p>
        </w:tc>
        <w:tc>
          <w:tcPr>
            <w:tcW w:w="3068" w:type="dxa"/>
            <w:noWrap w:val="0"/>
            <w:vAlign w:val="center"/>
          </w:tcPr>
          <w:p>
            <w:pPr>
              <w:widowControl/>
              <w:spacing w:beforeLines="0" w:afterLines="0" w:line="320" w:lineRule="exact"/>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畜牧业</w:t>
            </w:r>
          </w:p>
        </w:tc>
      </w:tr>
    </w:tbl>
    <w:p>
      <w:bookmarkStart w:id="0" w:name="_GoBack"/>
      <w:bookmarkEnd w:id="0"/>
    </w:p>
    <w:sectPr>
      <w:pgSz w:w="16838" w:h="11850" w:orient="landscape"/>
      <w:pgMar w:top="1587" w:right="2098" w:bottom="1474" w:left="1984" w:header="851" w:footer="1417" w:gutter="0"/>
      <w:pgNumType w:fmt="numberInDash"/>
      <w:cols w:space="720" w:num="1"/>
      <w:rtlGutter w:val="0"/>
      <w:docGrid w:type="lines" w:linePitch="31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Nimbus Roman">
    <w:altName w:val="Segoe Print"/>
    <w:panose1 w:val="00000500000000000000"/>
    <w:charset w:val="00"/>
    <w:family w:val="auto"/>
    <w:pitch w:val="default"/>
    <w:sig w:usb0="00000000" w:usb1="00000000" w:usb2="00000000" w:usb3="00000000" w:csb0="6000009F" w:csb1="00000000"/>
  </w:font>
  <w:font w:name="方正黑体_GBK">
    <w:altName w:val="微软雅黑"/>
    <w:panose1 w:val="02000000000000000000"/>
    <w:charset w:val="86"/>
    <w:family w:val="auto"/>
    <w:pitch w:val="default"/>
    <w:sig w:usb0="00000000" w:usb1="00000000" w:usb2="00000000" w:usb3="00000000" w:csb0="00040000" w:csb1="00000000"/>
  </w:font>
  <w:font w:name="方正小标宋_GBK">
    <w:panose1 w:val="02000000000000000000"/>
    <w:charset w:val="86"/>
    <w:family w:val="script"/>
    <w:pitch w:val="default"/>
    <w:sig w:usb0="A00002BF" w:usb1="38CF7CFA" w:usb2="00082016" w:usb3="00000000" w:csb0="00040001" w:csb1="00000000"/>
  </w:font>
  <w:font w:name="方正楷体_GBK">
    <w:altName w:val="微软雅黑"/>
    <w:panose1 w:val="02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Segoe Print">
    <w:panose1 w:val="02000600000000000000"/>
    <w:charset w:val="00"/>
    <w:family w:val="auto"/>
    <w:pitch w:val="default"/>
    <w:sig w:usb0="0000028F" w:usb1="00000000" w:usb2="00000000" w:usb3="00000000" w:csb0="2000009F" w:csb1="47010000"/>
  </w:font>
  <w:font w:name="方正小标宋简体">
    <w:panose1 w:val="03000509000000000000"/>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23134F"/>
    <w:multiLevelType w:val="singleLevel"/>
    <w:tmpl w:val="0723134F"/>
    <w:lvl w:ilvl="0" w:tentative="0">
      <w:start w:val="1"/>
      <w:numFmt w:val="decimal"/>
      <w:pStyle w:val="6"/>
      <w:lvlText w:val="%1."/>
      <w:lvlJc w:val="left"/>
      <w:pPr>
        <w:tabs>
          <w:tab w:val="left" w:pos="2040"/>
        </w:tabs>
        <w:ind w:left="204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k2NGRlZGJhZTg5ZjJlZTQ1NTA5NzAyZWYyNzkwMGUifQ=="/>
  </w:docVars>
  <w:rsids>
    <w:rsidRoot w:val="41DC392A"/>
    <w:rsid w:val="2BAA0794"/>
    <w:rsid w:val="41DC392A"/>
    <w:rsid w:val="5019541D"/>
    <w:rsid w:val="7B915F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5"/>
    <w:qFormat/>
    <w:uiPriority w:val="0"/>
    <w:pPr>
      <w:spacing w:after="0"/>
      <w:ind w:left="0" w:leftChars="0" w:firstLine="420"/>
    </w:pPr>
    <w:rPr>
      <w:rFonts w:ascii="仿宋_GB2312"/>
      <w:sz w:val="32"/>
      <w:szCs w:val="20"/>
    </w:rPr>
  </w:style>
  <w:style w:type="paragraph" w:styleId="3">
    <w:name w:val="Body Text Indent"/>
    <w:basedOn w:val="1"/>
    <w:next w:val="4"/>
    <w:qFormat/>
    <w:uiPriority w:val="0"/>
    <w:pPr>
      <w:spacing w:after="120"/>
      <w:ind w:left="420" w:leftChars="200"/>
    </w:pPr>
  </w:style>
  <w:style w:type="paragraph" w:styleId="4">
    <w:name w:val="Body Text"/>
    <w:basedOn w:val="1"/>
    <w:next w:val="3"/>
    <w:unhideWhenUsed/>
    <w:qFormat/>
    <w:uiPriority w:val="99"/>
    <w:pPr>
      <w:spacing w:after="120"/>
    </w:pPr>
  </w:style>
  <w:style w:type="paragraph" w:styleId="5">
    <w:name w:val="Plain Text"/>
    <w:basedOn w:val="1"/>
    <w:next w:val="6"/>
    <w:qFormat/>
    <w:uiPriority w:val="0"/>
    <w:rPr>
      <w:rFonts w:ascii="宋体" w:hAnsi="Courier New" w:cs="Courier New"/>
      <w:szCs w:val="21"/>
    </w:rPr>
  </w:style>
  <w:style w:type="paragraph" w:styleId="6">
    <w:name w:val="List Number 5"/>
    <w:basedOn w:val="1"/>
    <w:uiPriority w:val="0"/>
    <w:pPr>
      <w:numPr>
        <w:ilvl w:val="0"/>
        <w:numId w:val="1"/>
      </w:numPr>
    </w:pPr>
  </w:style>
  <w:style w:type="paragraph" w:styleId="7">
    <w:name w:val="footer"/>
    <w:basedOn w:val="1"/>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4047</Words>
  <Characters>4257</Characters>
  <Lines>0</Lines>
  <Paragraphs>0</Paragraphs>
  <TotalTime>7</TotalTime>
  <ScaleCrop>false</ScaleCrop>
  <LinksUpToDate>false</LinksUpToDate>
  <CharactersWithSpaces>4271</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2022-10-23T14:54:00Z</dcterms:created>
  <dc:creator>阿小那、</dc:creator>
  <cp:lastModifiedBy>阿小那、</cp:lastModifiedBy>
  <dcterms:modified xsi:type="dcterms:W3CDTF">2022-10-23T15:05:40Z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966C4B63A0C64C928A58038830735FFA</vt:lpwstr>
  </property>
</Properties>
</file>