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>
      <w:pPr>
        <w:spacing w:line="560" w:lineRule="exact"/>
        <w:rPr>
          <w:rFonts w:eastAsia="华文仿宋"/>
          <w:sz w:val="32"/>
          <w:szCs w:val="32"/>
        </w:rPr>
      </w:pP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</w:t>
      </w:r>
      <w:r>
        <w:rPr>
          <w:rFonts w:hint="eastAsia" w:eastAsia="方正小标宋简体"/>
          <w:sz w:val="44"/>
          <w:szCs w:val="44"/>
          <w:lang w:val="en-US" w:eastAsia="zh-CN"/>
        </w:rPr>
        <w:t>2</w:t>
      </w:r>
      <w:r>
        <w:rPr>
          <w:rFonts w:eastAsia="方正小标宋简体"/>
          <w:sz w:val="44"/>
          <w:szCs w:val="44"/>
        </w:rPr>
        <w:t>年度自治区科协所属先进学会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（协会、研究会）名单</w:t>
      </w:r>
    </w:p>
    <w:p>
      <w:pPr>
        <w:spacing w:before="156" w:beforeLines="50" w:after="156" w:afterLines="50" w:line="560" w:lineRule="exact"/>
        <w:jc w:val="center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（排名不分先后）</w:t>
      </w:r>
    </w:p>
    <w:p>
      <w:pPr>
        <w:spacing w:line="560" w:lineRule="exact"/>
        <w:rPr>
          <w:rFonts w:eastAsia="仿宋_GB2312"/>
          <w:sz w:val="32"/>
          <w:szCs w:val="32"/>
        </w:rPr>
        <w:sectPr>
          <w:footerReference r:id="rId3" w:type="default"/>
          <w:pgSz w:w="11906" w:h="16838"/>
          <w:pgMar w:top="1440" w:right="1531" w:bottom="1440" w:left="1531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新疆自然资源学会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新疆植物学会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新疆地理学会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新疆气象学会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新疆动物学会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新疆天文学会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新疆地震学会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新疆生态学会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新疆心理学会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新疆野生动植物保护协会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新疆数学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会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新疆石油学会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新疆软件行业协会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新疆电子学会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新疆机械工程学会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新疆农业机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械学会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新疆电机工程学会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新疆测绘地理信息学会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新疆通信学会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新疆有色金属学会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新疆地质学会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新疆水利学会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新疆农学会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新疆植物保护学会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新疆微生物学会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新疆林学会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新疆作物学会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新疆棉花学会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新疆农业质量协会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新疆土壤与肥料学会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新疆畜牧兽医学会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新疆农村专业技术协会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新疆红枣协会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新疆医学会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新疆营养学会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新疆免疫学会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新疆生理科学学会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新疆药学会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新疆护理学会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新疆预防医学会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新疆科学探险协会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新疆科技期刊编辑学会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新疆质量协会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新疆自然博物馆协会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新疆消防协会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新疆老科技工作者协会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新疆青少年科技辅导员协会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新疆图书馆学会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新疆人民防空科学技术协会</w:t>
      </w:r>
    </w:p>
    <w:p>
      <w:pPr>
        <w:rPr>
          <w:rFonts w:hint="eastAsia" w:ascii="仿宋_GB2312" w:hAnsi="仿宋_GB2312" w:eastAsia="仿宋_GB2312" w:cs="仿宋_GB2312"/>
          <w:b w:val="0"/>
          <w:bCs w:val="0"/>
          <w:w w:val="95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新疆</w:t>
      </w:r>
      <w:r>
        <w:rPr>
          <w:rFonts w:hint="eastAsia" w:ascii="仿宋_GB2312" w:hAnsi="仿宋_GB2312" w:eastAsia="仿宋_GB2312" w:cs="仿宋_GB2312"/>
          <w:b w:val="0"/>
          <w:bCs w:val="0"/>
          <w:w w:val="95"/>
          <w:sz w:val="32"/>
          <w:szCs w:val="32"/>
        </w:rPr>
        <w:t>民营科技实业家协会</w:t>
      </w:r>
    </w:p>
    <w:p>
      <w:pPr>
        <w:rPr>
          <w:rFonts w:hint="eastAsia" w:ascii="仿宋_GB2312" w:hAnsi="仿宋_GB2312" w:eastAsia="仿宋_GB2312" w:cs="仿宋_GB2312"/>
          <w:b w:val="0"/>
          <w:bCs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w w:val="100"/>
          <w:sz w:val="32"/>
          <w:szCs w:val="32"/>
        </w:rPr>
        <w:t>新疆节能减排科学研究会</w:t>
      </w:r>
    </w:p>
    <w:p>
      <w:pPr>
        <w:rPr>
          <w:rFonts w:hint="eastAsia" w:ascii="仿宋_GB2312" w:hAnsi="仿宋_GB2312" w:eastAsia="仿宋_GB2312" w:cs="仿宋_GB2312"/>
          <w:b/>
          <w:bCs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w w:val="100"/>
          <w:sz w:val="32"/>
          <w:szCs w:val="32"/>
        </w:rPr>
        <w:t>新疆烹饪协会</w:t>
      </w:r>
    </w:p>
    <w:p>
      <w:pPr>
        <w:spacing w:line="540" w:lineRule="exact"/>
        <w:rPr>
          <w:rFonts w:eastAsia="华文仿宋"/>
          <w:sz w:val="32"/>
          <w:szCs w:val="32"/>
        </w:rPr>
      </w:pPr>
    </w:p>
    <w:p>
      <w:pPr>
        <w:spacing w:line="540" w:lineRule="exact"/>
        <w:rPr>
          <w:rFonts w:eastAsia="华文仿宋"/>
          <w:sz w:val="32"/>
          <w:szCs w:val="32"/>
        </w:rPr>
      </w:pPr>
    </w:p>
    <w:p>
      <w:pPr>
        <w:spacing w:line="540" w:lineRule="exact"/>
        <w:rPr>
          <w:rFonts w:eastAsia="华文仿宋"/>
          <w:sz w:val="32"/>
          <w:szCs w:val="32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rPr>
          <w:rFonts w:eastAsia="方正仿宋简体"/>
          <w:kern w:val="0"/>
          <w:sz w:val="32"/>
          <w:szCs w:val="32"/>
          <w:lang w:bidi="ar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4584700</wp:posOffset>
              </wp:positionH>
              <wp:positionV relativeFrom="paragraph">
                <wp:posOffset>-256540</wp:posOffset>
              </wp:positionV>
              <wp:extent cx="689610" cy="6121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689610" cy="612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</w:p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</w:p>
                        <w:p>
                          <w:pPr>
                            <w:pStyle w:val="3"/>
                            <w:rPr>
                              <w:rFonts w:hint="eastAsia"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cs="仿宋_GB231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cs="仿宋_GB2312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hint="eastAsia" w:ascii="仿宋_GB2312" w:hAnsi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square" lIns="0" tIns="0" rIns="0" bIns="0" upright="false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1pt;margin-top:-20.2pt;height:48.2pt;width:54.3pt;mso-position-horizontal-relative:margin;z-index:251659264;mso-width-relative:page;mso-height-relative:page;" filled="f" stroked="f" coordsize="21600,21600" o:gfxdata="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CUPqVfaAAAACgEAAA8AAAAAAAAAAQAgAAAAOAAAAGRycy9kb3ducmV2&#10;LnhtbFBLAQIUABQAAAAIAIdO4kBcTEeIqwEAADgDAAAOAAAAAAAAAAEAIAAAAD8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</w:p>
                  <w:p>
                    <w:pPr>
                      <w:pStyle w:val="3"/>
                      <w:rPr>
                        <w:rFonts w:hint="eastAsia"/>
                      </w:rPr>
                    </w:pPr>
                  </w:p>
                  <w:p>
                    <w:pPr>
                      <w:pStyle w:val="3"/>
                      <w:rPr>
                        <w:rFonts w:hint="eastAsia" w:eastAsia="宋体"/>
                      </w:rPr>
                    </w:pPr>
                    <w:r>
                      <w:rPr>
                        <w:rFonts w:hint="eastAsia"/>
                      </w:rPr>
                      <w:t>—</w:t>
                    </w:r>
                    <w:r>
                      <w:rPr>
                        <w:rFonts w:hint="eastAsia" w:ascii="仿宋_GB2312" w:hAnsi="仿宋_GB2312" w:cs="仿宋_GB231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eastAsia" w:ascii="仿宋_GB2312" w:hAnsi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仿宋_GB2312" w:hAnsi="仿宋_GB2312" w:cs="仿宋_GB2312"/>
                        <w:sz w:val="24"/>
                        <w:szCs w:val="24"/>
                      </w:rPr>
                      <w:t>3</w:t>
                    </w:r>
                    <w:r>
                      <w:rPr>
                        <w:rFonts w:hint="eastAsia" w:ascii="仿宋_GB2312" w:hAnsi="仿宋_GB2312" w:cs="仿宋_GB231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87997C"/>
    <w:rsid w:val="26107CEB"/>
    <w:rsid w:val="3EAB0813"/>
    <w:rsid w:val="57D2423A"/>
    <w:rsid w:val="670F1293"/>
    <w:rsid w:val="DBDFE00D"/>
    <w:rsid w:val="F78AE78B"/>
    <w:rsid w:val="FDFED2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="Calibri" w:hAnsi="Calibri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kx</cp:lastModifiedBy>
  <dcterms:modified xsi:type="dcterms:W3CDTF">2023-03-22T12:27:15Z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BAE84F096B534282A1D7D1FB856579B1</vt:lpwstr>
  </property>
</Properties>
</file>