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val="0"/>
        <w:overflowPunct/>
        <w:topLinePunct w:val="0"/>
        <w:autoSpaceDE/>
        <w:autoSpaceDN/>
        <w:bidi w:val="0"/>
        <w:adjustRightInd/>
        <w:snapToGrid/>
        <w:spacing w:line="520" w:lineRule="exact"/>
        <w:jc w:val="both"/>
        <w:textAlignment w:val="auto"/>
        <w:rPr>
          <w:rFonts w:hint="eastAsia" w:ascii="方正黑体_GBK" w:hAnsi="方正黑体_GBK" w:eastAsia="方正黑体_GBK" w:cs="方正黑体_GBK"/>
          <w:color w:val="auto"/>
          <w:sz w:val="32"/>
          <w:szCs w:val="32"/>
          <w:lang w:eastAsia="zh-CN"/>
        </w:rPr>
      </w:pPr>
      <w:r>
        <w:rPr>
          <w:rFonts w:hint="eastAsia" w:ascii="方正黑体_GBK" w:hAnsi="方正黑体_GBK" w:eastAsia="方正黑体_GBK" w:cs="方正黑体_GBK"/>
          <w:color w:val="auto"/>
          <w:sz w:val="32"/>
          <w:szCs w:val="32"/>
          <w:lang w:eastAsia="zh-CN"/>
        </w:rPr>
        <w:t>附件</w:t>
      </w:r>
    </w:p>
    <w:p>
      <w:pPr>
        <w:keepNext w:val="0"/>
        <w:keepLines w:val="0"/>
        <w:pageBreakBefore w:val="0"/>
        <w:widowControl w:val="0"/>
        <w:kinsoku/>
        <w:wordWrap w:val="0"/>
        <w:overflowPunct/>
        <w:topLinePunct w:val="0"/>
        <w:autoSpaceDE/>
        <w:autoSpaceDN/>
        <w:bidi w:val="0"/>
        <w:adjustRightInd/>
        <w:snapToGrid/>
        <w:spacing w:line="520" w:lineRule="exact"/>
        <w:jc w:val="both"/>
        <w:textAlignment w:val="auto"/>
        <w:rPr>
          <w:rFonts w:hint="eastAsia" w:ascii="方正黑体_GBK" w:hAnsi="方正黑体_GBK" w:eastAsia="方正黑体_GBK" w:cs="方正黑体_GBK"/>
          <w:color w:val="auto"/>
          <w:sz w:val="32"/>
          <w:szCs w:val="32"/>
          <w:lang w:eastAsia="zh-CN"/>
        </w:rPr>
      </w:pPr>
    </w:p>
    <w:p>
      <w:pPr>
        <w:keepNext w:val="0"/>
        <w:keepLines w:val="0"/>
        <w:pageBreakBefore w:val="0"/>
        <w:widowControl w:val="0"/>
        <w:kinsoku/>
        <w:wordWrap w:val="0"/>
        <w:overflowPunct/>
        <w:topLinePunct w:val="0"/>
        <w:autoSpaceDE/>
        <w:autoSpaceDN/>
        <w:bidi w:val="0"/>
        <w:adjustRightInd/>
        <w:snapToGrid/>
        <w:spacing w:line="520" w:lineRule="exact"/>
        <w:jc w:val="center"/>
        <w:textAlignment w:val="auto"/>
        <w:rPr>
          <w:rFonts w:hint="eastAsia" w:ascii="方正小标宋简体" w:hAnsi="方正小标宋简体" w:eastAsia="方正小标宋简体" w:cs="方正小标宋简体"/>
          <w:color w:val="auto"/>
          <w:sz w:val="32"/>
          <w:szCs w:val="32"/>
        </w:rPr>
      </w:pPr>
      <w:bookmarkStart w:id="0" w:name="_GoBack"/>
      <w:r>
        <w:rPr>
          <w:rFonts w:hint="eastAsia" w:ascii="方正小标宋简体" w:hAnsi="方正小标宋简体" w:eastAsia="方正小标宋简体" w:cs="方正小标宋简体"/>
          <w:color w:val="auto"/>
          <w:sz w:val="32"/>
          <w:szCs w:val="32"/>
        </w:rPr>
        <w:t>2021-2025年第一批自治区科普教育基地评估结果</w:t>
      </w:r>
    </w:p>
    <w:bookmarkEnd w:id="0"/>
    <w:p>
      <w:pPr>
        <w:widowControl/>
        <w:spacing w:line="440" w:lineRule="exact"/>
        <w:jc w:val="center"/>
        <w:textAlignment w:val="center"/>
        <w:rPr>
          <w:rFonts w:hint="eastAsia" w:ascii="宋体" w:hAnsi="宋体" w:eastAsia="宋体" w:cs="宋体"/>
          <w:color w:val="auto"/>
          <w:kern w:val="0"/>
          <w:sz w:val="21"/>
          <w:szCs w:val="21"/>
        </w:rPr>
      </w:pPr>
    </w:p>
    <w:tbl>
      <w:tblPr>
        <w:tblStyle w:val="6"/>
        <w:tblW w:w="8725" w:type="dxa"/>
        <w:tblInd w:w="1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1"/>
        <w:gridCol w:w="6589"/>
        <w:gridCol w:w="14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blHeader/>
        </w:trPr>
        <w:tc>
          <w:tcPr>
            <w:tcW w:w="661" w:type="dxa"/>
            <w:vAlign w:val="center"/>
          </w:tcPr>
          <w:p>
            <w:pPr>
              <w:widowControl/>
              <w:spacing w:line="440" w:lineRule="exact"/>
              <w:jc w:val="center"/>
              <w:textAlignment w:val="center"/>
              <w:rPr>
                <w:rFonts w:hint="eastAsia" w:ascii="Calibri" w:hAnsi="Calibri" w:eastAsia="黑体" w:cs="Times New Roman"/>
                <w:color w:val="auto"/>
                <w:kern w:val="0"/>
                <w:sz w:val="21"/>
                <w:szCs w:val="21"/>
                <w:lang w:val="en-US" w:eastAsia="zh-CN" w:bidi="ar-SA"/>
              </w:rPr>
            </w:pPr>
            <w:r>
              <w:rPr>
                <w:rFonts w:eastAsia="黑体"/>
                <w:color w:val="auto"/>
                <w:kern w:val="0"/>
              </w:rPr>
              <w:t>序号</w:t>
            </w:r>
          </w:p>
        </w:tc>
        <w:tc>
          <w:tcPr>
            <w:tcW w:w="6589" w:type="dxa"/>
            <w:vAlign w:val="center"/>
          </w:tcPr>
          <w:p>
            <w:pPr>
              <w:widowControl/>
              <w:spacing w:line="440" w:lineRule="exact"/>
              <w:jc w:val="center"/>
              <w:textAlignment w:val="center"/>
              <w:rPr>
                <w:rFonts w:hint="eastAsia" w:ascii="Calibri" w:hAnsi="Calibri" w:eastAsia="黑体" w:cs="Times New Roman"/>
                <w:color w:val="auto"/>
                <w:kern w:val="0"/>
                <w:sz w:val="21"/>
                <w:szCs w:val="21"/>
                <w:lang w:val="en-US" w:eastAsia="zh-CN" w:bidi="ar-SA"/>
              </w:rPr>
            </w:pPr>
            <w:r>
              <w:rPr>
                <w:rFonts w:eastAsia="黑体"/>
                <w:color w:val="auto"/>
                <w:kern w:val="0"/>
              </w:rPr>
              <w:t>基地名称</w:t>
            </w:r>
          </w:p>
        </w:tc>
        <w:tc>
          <w:tcPr>
            <w:tcW w:w="1475" w:type="dxa"/>
            <w:vAlign w:val="center"/>
          </w:tcPr>
          <w:p>
            <w:pPr>
              <w:widowControl/>
              <w:spacing w:line="440" w:lineRule="exact"/>
              <w:jc w:val="center"/>
              <w:textAlignment w:val="center"/>
              <w:rPr>
                <w:rFonts w:hint="eastAsia" w:ascii="Calibri" w:hAnsi="Calibri" w:eastAsia="黑体" w:cs="Times New Roman"/>
                <w:color w:val="auto"/>
                <w:kern w:val="0"/>
                <w:sz w:val="21"/>
                <w:szCs w:val="21"/>
                <w:lang w:val="en-US" w:eastAsia="zh-CN" w:bidi="ar-SA"/>
              </w:rPr>
            </w:pPr>
            <w:r>
              <w:rPr>
                <w:rFonts w:hint="eastAsia" w:eastAsia="黑体"/>
                <w:color w:val="auto"/>
                <w:kern w:val="0"/>
                <w:szCs w:val="21"/>
                <w:lang w:eastAsia="zh-CN"/>
              </w:rPr>
              <w:t>评估结果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1</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新疆农业科学院植物保护研究所农业生物安全创新中心</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2</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自治区计量测试研究院计量科普基地</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3</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新疆科技发展战略研究院科技大数据展厅</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4</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新疆医科大学基础医学院</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5</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自治区林业科学院乌鲁木齐珍稀树种自治区林木种质资源库</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6</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自治区妇幼保健院（新疆妇幼健康研究所）</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7</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自治区标准化研究院标准化科普教育研学基地（新疆标准馆）</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8</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中国科学院新疆理化技术研究所新疆民族药关键技术与工艺工程研究中心</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9</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新疆医科大学护理学院</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10</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新疆医科大学天然药物活性组分与释药技术重点实验室</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11</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新疆大学工程训练中心</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12</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新疆工程学院矿业工程与地质学院</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13</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新疆农业大学三坪教学实践基地</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14</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新疆图书馆</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lang w:eastAsia="zh-CN"/>
              </w:rPr>
            </w:pPr>
            <w:r>
              <w:rPr>
                <w:rFonts w:hint="eastAsia" w:ascii="宋体" w:hAnsi="宋体" w:cs="宋体"/>
                <w:color w:val="auto"/>
                <w:sz w:val="21"/>
                <w:szCs w:val="21"/>
                <w:vertAlign w:val="baseline"/>
                <w:lang w:eastAsia="zh-CN"/>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15</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新疆机场历史陈列馆</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16</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乌鲁木齐市经济技术开发区（头屯河区）青少年校外活动中心</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lang w:eastAsia="zh-CN"/>
              </w:rPr>
            </w:pPr>
            <w:r>
              <w:rPr>
                <w:rFonts w:hint="eastAsia" w:ascii="宋体" w:hAnsi="宋体" w:cs="宋体"/>
                <w:color w:val="auto"/>
                <w:sz w:val="21"/>
                <w:szCs w:val="21"/>
                <w:vertAlign w:val="baseline"/>
                <w:lang w:eastAsia="zh-CN"/>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17</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新疆田马博物馆有限公司新疆田马博物馆</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18</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乌鲁木齐市新市区安宁渠塞外水乡有机农场</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19</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新疆野马文化发展有限公司新疆古生态园</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20</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乌鲁木齐市馕文化产业园</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21</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乌鲁木齐星际探索天文科技有限公司高崖子天文台</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22</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新疆软件园有限责任公司科普教育基地</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23</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新疆百妙锦教育咨询有限责任公司乌鲁木齐市分公司即刻飞行创客教育基地</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24</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乌鲁木齐市植物园</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25</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乌鲁木齐盛贝特海洋水族馆</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26</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伊犁州伊宁市青少年综合实践教育中心</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lang w:eastAsia="zh-CN"/>
              </w:rPr>
            </w:pPr>
            <w:r>
              <w:rPr>
                <w:rFonts w:hint="eastAsia" w:ascii="宋体" w:hAnsi="宋体" w:cs="宋体"/>
                <w:color w:val="auto"/>
                <w:sz w:val="21"/>
                <w:szCs w:val="21"/>
                <w:vertAlign w:val="baseline"/>
                <w:lang w:eastAsia="zh-CN"/>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27</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伊犁州伊宁市青少年活动中心</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28</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伊犁州伊宁市克伯克于孜乡种子研学馆</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29</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伊犁州博物馆</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30</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spacing w:val="-8"/>
                <w:kern w:val="0"/>
                <w:sz w:val="21"/>
                <w:szCs w:val="21"/>
              </w:rPr>
              <w:t>伊犁州伊宁市六星街民俗文化陈列馆·亚历山大手风琴珍藏馆</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31</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塔城地区乌苏市科学技术馆</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32</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塔城地区应急消防科普教育基地</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33</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塔城地区防震减灾科普教育基地</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34</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阿勒泰天文馆</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35</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阿勒泰市气象局</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36</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阿勒泰地区吉木乃县草原石城景区</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37</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阿勒泰喀纳斯酒业集团航天精神展馆</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38</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阿勒泰地区阿尔泰山中草药博物馆</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39</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克拉玛依市青少年科技活动中心（市少儿活动中心）</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lang w:eastAsia="zh-CN"/>
              </w:rPr>
            </w:pPr>
            <w:r>
              <w:rPr>
                <w:rFonts w:hint="eastAsia" w:ascii="宋体" w:hAnsi="宋体" w:cs="宋体"/>
                <w:color w:val="auto"/>
                <w:sz w:val="21"/>
                <w:szCs w:val="21"/>
                <w:vertAlign w:val="baseline"/>
                <w:lang w:eastAsia="zh-CN"/>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40</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克拉玛依市应急管理消防科普教育基地</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41</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新疆油田油气储运公司总站科普教育基地</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42</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克拉玛依市黑油山旅游景区</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43</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博州温泉县青少年科学技术馆</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44</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博乐市青少年校外活动中心</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45</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博州气象局科普教育基地</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46</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spacing w:val="-8"/>
                <w:kern w:val="0"/>
                <w:sz w:val="21"/>
                <w:szCs w:val="21"/>
              </w:rPr>
              <w:t>博尔塔拉蒙古自治州温泉县新疆北鲵自然保护区新疆北鲵馆</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47</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昌吉回族自治州科技馆</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48</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昌吉州市场监督管理局科普教育基地</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49</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新疆农业科学院奇台麦类试验站</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50</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特变电工股份有限公司创业展厅</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51</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新疆笑厨食品有限公司食品安全科普教育基地</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52</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spacing w:val="-8"/>
                <w:kern w:val="0"/>
                <w:sz w:val="21"/>
                <w:szCs w:val="21"/>
              </w:rPr>
              <w:t>昌吉州木垒县鸣沙山沙漠公园有限责任公司草原坎儿井博物馆</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53</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spacing w:val="-8"/>
                <w:kern w:val="0"/>
                <w:sz w:val="21"/>
                <w:szCs w:val="21"/>
              </w:rPr>
              <w:t>昌吉州新疆飞览天下文化发展有限公司“飞览天下·新疆会客厅”</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54</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玛纳斯国家湿地公园</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55</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昌吉州吉木萨尔县北庭故城国家考古遗址公园</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56</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哈密国家农业科技园</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57</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中国科学院新疆生态与地理研究所吐鲁番沙漠植物园</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58</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吐鲁番市图书馆</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59</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巴州焉耆回族自治县科学技术馆</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lang w:eastAsia="zh-CN"/>
              </w:rPr>
            </w:pPr>
            <w:r>
              <w:rPr>
                <w:rFonts w:hint="eastAsia" w:ascii="宋体" w:hAnsi="宋体" w:cs="宋体"/>
                <w:color w:val="auto"/>
                <w:sz w:val="21"/>
                <w:szCs w:val="21"/>
                <w:vertAlign w:val="baseline"/>
                <w:lang w:eastAsia="zh-CN"/>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60</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巴州若羌县科学技术馆</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61</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巴州尉犁县青少年校外活动中心</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62</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库尔勒市青少年示范性综合实践基地</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63</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巴州和硕县马兰红山军博园</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64</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巴州人民医院</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65</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新疆农业科学院轮台果树资源圃</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66</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巴州新疆新投绿环种植有限责任公司科普教育基地</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67</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阿克苏地区乌什县科学技术馆</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68</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阿克苏职业技术学院</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69</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阿克苏地区新疆乐纯智能科技有限公司科普教育基地</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70</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阿克苏地区文博院（博物馆）</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71</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阿克苏地区柯柯牙纪念馆</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72</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喀什地区叶城县科学技术馆</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73</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喀什地区岳普湖县科学技术馆</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74</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喀什大学自然博物馆</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75</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喀什禾富生态农业科技公司南果北种科普教育基地</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76</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喀什地区莎车县农业科技产业园</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77</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喀什地区巴楚抗震纪念馆</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78</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和田益生果园农业开发有限公司新袖田园科普教育基地</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79</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和田地区于田县库尔班·吐鲁木纪念馆</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80</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石河子大学医学院第一附属医院</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lang w:eastAsia="zh-CN"/>
              </w:rPr>
            </w:pPr>
            <w:r>
              <w:rPr>
                <w:rFonts w:hint="eastAsia" w:ascii="宋体" w:hAnsi="宋体" w:cs="宋体"/>
                <w:color w:val="auto"/>
                <w:sz w:val="21"/>
                <w:szCs w:val="21"/>
                <w:vertAlign w:val="baseline"/>
                <w:lang w:eastAsia="zh-CN"/>
              </w:rPr>
              <w:t>优秀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81</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自治区疾病预防控制中心新疆医学动物昆虫标本馆</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lang w:eastAsia="zh-CN"/>
              </w:rPr>
            </w:pPr>
            <w:r>
              <w:rPr>
                <w:rFonts w:hint="eastAsia" w:ascii="宋体" w:hAnsi="宋体" w:cs="宋体"/>
                <w:color w:val="auto"/>
                <w:sz w:val="21"/>
                <w:szCs w:val="21"/>
                <w:vertAlign w:val="baseline"/>
                <w:lang w:eastAsia="zh-CN"/>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82</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新疆师范大学体育学院</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83</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新疆工程学院控制工程学院</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84</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新疆煤炭技师学院</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85</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新疆医科大学公共卫生学院</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86</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新疆轻工职业技术学院</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87</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新疆医科大学中医学院</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88</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自治区环境测试分析研究中心</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89</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新疆煤田地质局一五六煤田地质勘探队骑马山科普教育基地</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90</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新疆维吾尔自治区残疾人辅助器具展示中心</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91</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乌鲁木齐市青少年宫</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lang w:eastAsia="zh-CN"/>
              </w:rPr>
            </w:pPr>
            <w:r>
              <w:rPr>
                <w:rFonts w:hint="eastAsia" w:ascii="宋体" w:hAnsi="宋体" w:cs="宋体"/>
                <w:color w:val="auto"/>
                <w:sz w:val="21"/>
                <w:szCs w:val="21"/>
                <w:vertAlign w:val="baseline"/>
                <w:lang w:eastAsia="zh-CN"/>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92</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乌鲁木齐气象卫星地面站</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93</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新疆疆果巴扎农林科技有限公司水果巴扎资源体验馆</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94</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乌鲁木齐新兴华联农业科技开发有限公司华联农业科技示范园</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95</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新疆有机蔬菜标准化种植科普教育基地</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96</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新疆埃乐欣药业有限公司新疆大蒜药用研究重点实验室</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97</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乌鲁木齐天山大峡谷景区生态科普基地</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98</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新疆天山北坡头屯河国家湿地公园科普馆</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99</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伊犁州伊宁市规划展览馆</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100</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伊犁霍城县青少年活动中心</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101</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中国科学院新疆生态与地理研究所天山积雪雪崩研究站</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102</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伊犁州伊宁市应急消防科普教育基地</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103</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塔城地区和布克赛尔蒙古自治县科学技术馆</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104</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新疆农业科学院额敏综合试验示范基地</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105</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自治区林业科学院森林生态研究所阿尔泰山森林生态系统国家定位观测研究站</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106</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阿勒泰地区喀纳斯景区博物馆</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107</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新疆布尔根河狸国家级自然保护区</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108</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阿勒泰地区福海县乌伦古湖国家湿地公园</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109</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克拉玛依市克拉玛依区防灾减灾科普教育基地</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lang w:eastAsia="zh-CN"/>
              </w:rPr>
            </w:pPr>
            <w:r>
              <w:rPr>
                <w:rFonts w:hint="eastAsia" w:ascii="宋体" w:hAnsi="宋体" w:cs="宋体"/>
                <w:color w:val="auto"/>
                <w:sz w:val="21"/>
                <w:szCs w:val="21"/>
                <w:vertAlign w:val="baseline"/>
                <w:lang w:eastAsia="zh-CN"/>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110</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中国石油大学(北京)克拉玛依校区文理学院</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lang w:eastAsia="zh-CN"/>
              </w:rPr>
            </w:pPr>
            <w:r>
              <w:rPr>
                <w:rFonts w:hint="eastAsia" w:ascii="宋体" w:hAnsi="宋体" w:cs="宋体"/>
                <w:color w:val="auto"/>
                <w:sz w:val="21"/>
                <w:szCs w:val="21"/>
                <w:vertAlign w:val="baseline"/>
                <w:lang w:eastAsia="zh-CN"/>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111</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博州新疆赛湖渔业科技开发有限公司冷水鱼科普教育基地</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112</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博州赛里木湖国家湿地公园</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113</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新疆艾比湖湿地国家级自然保护区</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114</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阿拉山口海关国门生物安全标本馆</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115</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博州博物馆</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116</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昌吉州木垒哈萨克自治县青少年校外活动中心</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117</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昌吉回族自治州奇台县气象科普教育基地</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118</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昌吉州新疆朗青畜牧有限公司奶牛科普馆</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119</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新疆东方环宇燃气股份有限公司燃气体验中心</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120</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新疆中信国安葡萄酒业有限公司葡萄酒产业科普教育基地</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121</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昌吉恐龙馆</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122</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昌吉州高新区国家级飞行营地科普教育基地</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123</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哈密市巴里坤县健坤牧业有限公司科普教育基地</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124</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吐鲁番市农业气象试验站</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125</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自治区林业科学院森林生态研究所博斯腾湖湿地生态系统国家定位观测研究站</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126</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自治区林业科学院造林治沙研究所塔里木河胡杨林生态系统国家定位观测研究站</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127</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巴州库尔勒市青少年示范性综合实践基地消防科普教育馆</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128</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巴州新疆红帆生物科技有限公司科普教育基地</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129</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巴州极飞农业航空科技有限公司</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130</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巴州阿尔金山国家级自然保护区</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131</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新疆农业科学院经济作物研究所阿瓦提县棉花科研综合示范基地</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132</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新疆理工学院新能源与储能技术科普基地</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0"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133</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新疆农业科学院拜城农业试验站</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134</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新疆天玉种业集团公司现代化农业科技示范产业园</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135</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阿克苏市苏泉河旅游管理有限公司</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136</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喀什地区莎车县青少年活动中心</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137</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喀什地区塔什库尔干塔吉克自治县气象局</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138</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喀什大学物理基础和演示实验室</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139</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喀什地区四季驿栈生态农业科技有限公司四季驿栈科普教育基地</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140</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喀什地区伽师县新时代文明实践中心</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141</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喀什地区莎车县丝绸之路·莎车博物馆</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142</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和田地区策勒县新疆沙漠枣业有限公司特色林果业科普示范基地</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143</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和田地区皮山县方圆绿色农业科技开发有限公司绿色农业科技科普示范基地</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144</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石河子大学机械电气工程学院</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145</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石河子大学新疆植物药资源利用教育部重点实验室</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合格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661" w:type="dxa"/>
            <w:vAlign w:val="center"/>
          </w:tcPr>
          <w:p>
            <w:pPr>
              <w:widowControl/>
              <w:spacing w:line="440" w:lineRule="exact"/>
              <w:jc w:val="center"/>
              <w:textAlignment w:val="center"/>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146</w:t>
            </w:r>
          </w:p>
        </w:tc>
        <w:tc>
          <w:tcPr>
            <w:tcW w:w="6589"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color w:val="auto"/>
                <w:kern w:val="0"/>
                <w:sz w:val="21"/>
                <w:szCs w:val="21"/>
              </w:rPr>
              <w:t>新疆农垦科学院作物研究所</w:t>
            </w:r>
          </w:p>
        </w:tc>
        <w:tc>
          <w:tcPr>
            <w:tcW w:w="1475" w:type="dxa"/>
            <w:vAlign w:val="center"/>
          </w:tcPr>
          <w:p>
            <w:pPr>
              <w:widowControl/>
              <w:spacing w:line="440" w:lineRule="exact"/>
              <w:jc w:val="center"/>
              <w:textAlignment w:val="center"/>
              <w:rPr>
                <w:rFonts w:hint="eastAsia" w:ascii="宋体" w:hAnsi="宋体" w:eastAsia="宋体" w:cs="宋体"/>
                <w:color w:val="auto"/>
                <w:sz w:val="21"/>
                <w:szCs w:val="21"/>
                <w:vertAlign w:val="baseline"/>
              </w:rPr>
            </w:pPr>
            <w:r>
              <w:rPr>
                <w:rFonts w:hint="eastAsia" w:ascii="宋体" w:hAnsi="宋体" w:cs="宋体"/>
                <w:color w:val="auto"/>
                <w:sz w:val="21"/>
                <w:szCs w:val="21"/>
                <w:vertAlign w:val="baseline"/>
                <w:lang w:eastAsia="zh-CN"/>
              </w:rPr>
              <w:t>合格</w:t>
            </w:r>
          </w:p>
        </w:tc>
      </w:tr>
    </w:tbl>
    <w:p>
      <w:pPr>
        <w:rPr>
          <w:rFonts w:hint="eastAsia" w:ascii="方正小标宋简体" w:hAnsi="方正小标宋简体" w:eastAsia="方正小标宋简体" w:cs="方正小标宋简体"/>
          <w:color w:val="auto"/>
          <w:sz w:val="32"/>
          <w:szCs w:val="32"/>
          <w:lang w:val="en-US" w:eastAsia="zh-CN"/>
        </w:rPr>
      </w:pPr>
    </w:p>
    <w:p/>
    <w:sectPr>
      <w:headerReference r:id="rId3" w:type="default"/>
      <w:footerReference r:id="rId4" w:type="default"/>
      <w:pgSz w:w="11906" w:h="16838"/>
      <w:pgMar w:top="2098" w:right="1587" w:bottom="1984" w:left="1587" w:header="851" w:footer="992" w:gutter="0"/>
      <w:pgNumType w:fmt="numberInDash" w:start="1"/>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auto"/>
    <w:pitch w:val="default"/>
    <w:sig w:usb0="00000001" w:usb1="080E0000" w:usb2="00000000" w:usb3="00000000" w:csb0="00040000" w:csb1="00000000"/>
  </w:font>
  <w:font w:name="CESI仿宋-GB2312">
    <w:altName w:val="仿宋"/>
    <w:panose1 w:val="02000500000000000000"/>
    <w:charset w:val="86"/>
    <w:family w:val="auto"/>
    <w:pitch w:val="default"/>
    <w:sig w:usb0="00000000" w:usb1="00000000" w:usb2="00000010" w:usb3="00000000" w:csb0="0004000F" w:csb1="00000000"/>
  </w:font>
  <w:font w:name="方正黑体_GBK">
    <w:altName w:val="微软雅黑"/>
    <w:panose1 w:val="02000000000000000000"/>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wps:spPr>
                    <wps:txbx>
                      <w:txbxContent>
                        <w:p>
                          <w:pPr>
                            <w:pStyle w:val="2"/>
                          </w:pPr>
                          <w:r>
                            <w:fldChar w:fldCharType="begin"/>
                          </w:r>
                          <w:r>
                            <w:instrText xml:space="preserve"> PAGE  \* MERGEFORMAT </w:instrText>
                          </w:r>
                          <w:r>
                            <w:fldChar w:fldCharType="separate"/>
                          </w:r>
                          <w:r>
                            <w:t>1</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">
              <v:path/>
              <v:fill on="f" focussize="0,0"/>
              <v:stroke on="f"/>
              <v:imagedata o:title=""/>
              <o:lock v:ext="edit" aspectratio="f"/>
              <v:textbox inset="0mm,0mm,0mm,0mm" style="mso-fit-shape-to-text:t;">
                <w:txbxContent>
                  <w:p>
                    <w:pPr>
                      <w:pStyle w:val="2"/>
                    </w:pPr>
                    <w:r>
                      <w:fldChar w:fldCharType="begin"/>
                    </w:r>
                    <w:r>
                      <w:instrText xml:space="preserve"> PAGE  \* MERGEFORMAT </w:instrText>
                    </w:r>
                    <w:r>
                      <w:fldChar w:fldCharType="separate"/>
                    </w:r>
                    <w:r>
                      <w:t>1</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72F6BE7"/>
    <w:rsid w:val="372F6BE7"/>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4">
    <w:name w:val="Default Paragraph Font"/>
    <w:semiHidden/>
    <w:uiPriority w:val="0"/>
  </w:style>
  <w:style w:type="table" w:default="1" w:styleId="5">
    <w:name w:val="Normal Table"/>
    <w:semiHidden/>
    <w:uiPriority w:val="0"/>
    <w:tblPr>
      <w:tblLayout w:type="fixed"/>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rPr>
  </w:style>
  <w:style w:type="paragraph" w:styleId="3">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6">
    <w:name w:val="Table Grid"/>
    <w:basedOn w:val="5"/>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tcPr>
      <w:textDirection w:val="lrTb"/>
    </w:tc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Office_10.8.0.5715_F1E327BC-269C-435d-A152-05C5408002CA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2023-07-31T09:46:00Z</dcterms:created>
  <dc:creator>Administrator</dc:creator>
  <cp:lastModifiedBy>Administrator</cp:lastModifiedBy>
  <dcterms:modified xsi:type="dcterms:W3CDTF">2023-07-31T09:46:53Z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2052-10.8.0.5715</vt:lpwstr>
  </property>
</Properties>
</file>